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C885E" w14:textId="77777777" w:rsidR="00F86CEF" w:rsidRDefault="00000000">
      <w:r>
        <w:rPr>
          <w:rFonts w:ascii="Aptos Display" w:hAnsi="Aptos Display"/>
          <w:b/>
          <w:color w:val="B42828"/>
          <w:sz w:val="52"/>
        </w:rPr>
        <w:t>PROFIL PERUSAHAAN</w:t>
      </w:r>
    </w:p>
    <w:p w14:paraId="14B83B71" w14:textId="2C66DA44" w:rsidR="00F86CEF" w:rsidRDefault="00000000">
      <w:r>
        <w:rPr>
          <w:b/>
          <w:sz w:val="36"/>
        </w:rPr>
        <w:t xml:space="preserve">PT </w:t>
      </w:r>
      <w:r w:rsidR="008359D7">
        <w:rPr>
          <w:b/>
          <w:sz w:val="36"/>
        </w:rPr>
        <w:t>Risk Resolution Intelligent</w:t>
      </w:r>
    </w:p>
    <w:p w14:paraId="7ACD27DA" w14:textId="77777777" w:rsidR="00F86CEF" w:rsidRDefault="00000000">
      <w:r>
        <w:rPr>
          <w:i/>
          <w:color w:val="646464"/>
          <w:sz w:val="22"/>
        </w:rPr>
        <w:t>Disusun sebagai bagian dari proposal proyek</w:t>
      </w:r>
    </w:p>
    <w:tbl>
      <w:tblPr>
        <w:tblW w:w="0" w:type="auto"/>
        <w:jc w:val="center"/>
        <w:tblLayout w:type="fixed"/>
        <w:tblLook w:val="04A0" w:firstRow="1" w:lastRow="0" w:firstColumn="1" w:lastColumn="0" w:noHBand="0" w:noVBand="1"/>
      </w:tblPr>
      <w:tblGrid>
        <w:gridCol w:w="4816"/>
        <w:gridCol w:w="4816"/>
      </w:tblGrid>
      <w:tr w:rsidR="00F86CEF" w14:paraId="7CDF3214" w14:textId="77777777">
        <w:trPr>
          <w:jc w:val="center"/>
        </w:trPr>
        <w:tc>
          <w:tcPr>
            <w:tcW w:w="4816" w:type="dxa"/>
            <w:shd w:val="clear" w:color="auto" w:fill="B42828"/>
            <w:vAlign w:val="center"/>
          </w:tcPr>
          <w:p w14:paraId="2B7ED32D" w14:textId="77777777" w:rsidR="00F86CEF" w:rsidRDefault="00000000">
            <w:pPr>
              <w:spacing w:after="0"/>
            </w:pPr>
            <w:r>
              <w:rPr>
                <w:rFonts w:ascii="Aptos Display" w:hAnsi="Aptos Display"/>
                <w:b/>
                <w:color w:val="FFFFFF"/>
                <w:sz w:val="44"/>
              </w:rPr>
              <w:t>Risk Resolution</w:t>
            </w:r>
          </w:p>
          <w:p w14:paraId="3B783E4A" w14:textId="77777777" w:rsidR="00F86CEF" w:rsidRDefault="00000000">
            <w:pPr>
              <w:spacing w:before="160" w:after="160"/>
            </w:pPr>
            <w:r>
              <w:rPr>
                <w:color w:val="FFFFFF"/>
              </w:rPr>
              <w:t>Mitra strategis untuk penguatan manajemen risiko, tata kelola, kepatuhan, dan keberlanjutan organisasi.</w:t>
            </w:r>
          </w:p>
        </w:tc>
        <w:tc>
          <w:tcPr>
            <w:tcW w:w="4816" w:type="dxa"/>
            <w:shd w:val="clear" w:color="auto" w:fill="F4F4F4"/>
            <w:vAlign w:val="center"/>
          </w:tcPr>
          <w:p w14:paraId="0EFA67AA" w14:textId="77777777" w:rsidR="00F86CEF" w:rsidRDefault="00F86CEF">
            <w:pPr>
              <w:spacing w:after="0"/>
            </w:pPr>
          </w:p>
          <w:p w14:paraId="3767A2E0" w14:textId="77777777" w:rsidR="00F86CEF" w:rsidRDefault="00000000">
            <w:pPr>
              <w:spacing w:after="100"/>
            </w:pPr>
            <w:r>
              <w:rPr>
                <w:b/>
                <w:color w:val="B42828"/>
                <w:sz w:val="19"/>
              </w:rPr>
              <w:t>Alamat</w:t>
            </w:r>
            <w:r>
              <w:rPr>
                <w:b/>
                <w:color w:val="B42828"/>
                <w:sz w:val="19"/>
              </w:rPr>
              <w:br/>
            </w:r>
            <w:r>
              <w:rPr>
                <w:sz w:val="19"/>
              </w:rPr>
              <w:t>Soho Pancoran Tower Splendor S-3017, Jl. M.T. Haryono, Tebet Barat, Jakarta Selatan 12810</w:t>
            </w:r>
          </w:p>
          <w:p w14:paraId="1DE0351B" w14:textId="77777777" w:rsidR="00F86CEF" w:rsidRDefault="00000000">
            <w:pPr>
              <w:spacing w:after="100"/>
            </w:pPr>
            <w:r>
              <w:rPr>
                <w:b/>
                <w:color w:val="B42828"/>
                <w:sz w:val="19"/>
              </w:rPr>
              <w:t>Kontak</w:t>
            </w:r>
            <w:r>
              <w:rPr>
                <w:b/>
                <w:color w:val="B42828"/>
                <w:sz w:val="19"/>
              </w:rPr>
              <w:br/>
            </w:r>
            <w:r>
              <w:rPr>
                <w:sz w:val="19"/>
              </w:rPr>
              <w:t>0811 1200 0800</w:t>
            </w:r>
          </w:p>
          <w:p w14:paraId="3D621C75" w14:textId="77777777" w:rsidR="00F86CEF" w:rsidRDefault="00000000">
            <w:pPr>
              <w:spacing w:after="100"/>
            </w:pPr>
            <w:r>
              <w:rPr>
                <w:b/>
                <w:color w:val="B42828"/>
                <w:sz w:val="19"/>
              </w:rPr>
              <w:t>Email</w:t>
            </w:r>
            <w:r>
              <w:rPr>
                <w:b/>
                <w:color w:val="B42828"/>
                <w:sz w:val="19"/>
              </w:rPr>
              <w:br/>
            </w:r>
            <w:r>
              <w:rPr>
                <w:sz w:val="19"/>
              </w:rPr>
              <w:t>info@myriskresolution.com</w:t>
            </w:r>
          </w:p>
          <w:p w14:paraId="77EA9190" w14:textId="77777777" w:rsidR="00F86CEF" w:rsidRDefault="00000000">
            <w:pPr>
              <w:spacing w:after="100"/>
            </w:pPr>
            <w:r>
              <w:rPr>
                <w:b/>
                <w:color w:val="B42828"/>
                <w:sz w:val="19"/>
              </w:rPr>
              <w:t>Instagram</w:t>
            </w:r>
            <w:r>
              <w:rPr>
                <w:b/>
                <w:color w:val="B42828"/>
                <w:sz w:val="19"/>
              </w:rPr>
              <w:br/>
            </w:r>
            <w:r>
              <w:rPr>
                <w:sz w:val="19"/>
              </w:rPr>
              <w:t>@risk.resolution</w:t>
            </w:r>
          </w:p>
        </w:tc>
      </w:tr>
    </w:tbl>
    <w:p w14:paraId="19911158" w14:textId="77777777" w:rsidR="00F86CEF" w:rsidRDefault="00F86CEF"/>
    <w:p w14:paraId="6D531BFB" w14:textId="77777777" w:rsidR="00F86CEF" w:rsidRDefault="00000000">
      <w:pPr>
        <w:pBdr>
          <w:bottom w:val="single" w:sz="10" w:space="1" w:color="C59137"/>
        </w:pBdr>
        <w:spacing w:after="240"/>
      </w:pPr>
      <w:r>
        <w:t>Dokumen ini merangkum profil perusahaan, kompetensi inti, pengalaman relevan, dan kapabilitas pelaksanaan yang mendukung kebutuhan pekerjaan klien.</w:t>
      </w:r>
    </w:p>
    <w:p w14:paraId="2865632C" w14:textId="77777777" w:rsidR="00F86CEF" w:rsidRDefault="00000000">
      <w:r>
        <w:br w:type="page"/>
      </w:r>
    </w:p>
    <w:p w14:paraId="549A538B" w14:textId="77777777" w:rsidR="00F86CEF" w:rsidRDefault="00000000">
      <w:pPr>
        <w:pStyle w:val="Heading1Custom"/>
        <w:pBdr>
          <w:bottom w:val="single" w:sz="6" w:space="1" w:color="D7A14A"/>
        </w:pBdr>
        <w:spacing w:before="80" w:after="120"/>
      </w:pPr>
      <w:r>
        <w:lastRenderedPageBreak/>
        <w:t>1. Profil Singkat Perusahaan</w:t>
      </w:r>
    </w:p>
    <w:p w14:paraId="3F83DD0E" w14:textId="4C625830" w:rsidR="00F86CEF" w:rsidRDefault="00000000">
      <w:pPr>
        <w:spacing w:after="120"/>
      </w:pPr>
      <w:r>
        <w:t xml:space="preserve">PT </w:t>
      </w:r>
      <w:r w:rsidR="008359D7">
        <w:t>Risk Resolution Intelligent</w:t>
      </w:r>
      <w:r>
        <w:t xml:space="preserve"> (“Risk Resolution”) </w:t>
      </w:r>
      <w:proofErr w:type="spellStart"/>
      <w:r>
        <w:t>merupakan</w:t>
      </w:r>
      <w:proofErr w:type="spellEnd"/>
      <w:r>
        <w:t xml:space="preserve"> perusahaan penyedia jasa pelatihan dan konsultansi manajemen yang berfokus pada pengelolaan risiko, peningkatan efektivitas operasional, serta penguatan tata kelola perusahaan. Perusahaan hadir sebagai mitra strategis bagi organisasi sektor BUMN maupun swasta dalam menghadapi tuntutan manajemen modern dan perubahan lingkungan bisnis.</w:t>
      </w:r>
    </w:p>
    <w:p w14:paraId="40C42898" w14:textId="77777777" w:rsidR="00F86CEF" w:rsidRDefault="00000000">
      <w:pPr>
        <w:spacing w:after="120"/>
      </w:pPr>
      <w:r>
        <w:t>Pendekatan layanan Risk Resolution mengacu pada praktik terbaik dan standar internasional, dengan orientasi pada solusi yang aplikatif, terukur, dan berkelanjutan. Rekam jejak perusahaan mencakup dukungan kepada klien pada sektor energi, keuangan, manufaktur, infrastruktur, dan layanan publik.</w:t>
      </w:r>
    </w:p>
    <w:p w14:paraId="40562623" w14:textId="77777777" w:rsidR="00F86CEF" w:rsidRDefault="00000000">
      <w:pPr>
        <w:pStyle w:val="Heading1Custom"/>
        <w:pBdr>
          <w:bottom w:val="single" w:sz="6" w:space="1" w:color="D7A14A"/>
        </w:pBdr>
        <w:spacing w:before="80" w:after="120"/>
      </w:pPr>
      <w:r>
        <w:t>2. Visi dan Misi</w:t>
      </w:r>
    </w:p>
    <w:tbl>
      <w:tblPr>
        <w:tblW w:w="7835" w:type="dxa"/>
        <w:tblLayout w:type="fixed"/>
        <w:tblLook w:val="04A0" w:firstRow="1" w:lastRow="0" w:firstColumn="1" w:lastColumn="0" w:noHBand="0" w:noVBand="1"/>
      </w:tblPr>
      <w:tblGrid>
        <w:gridCol w:w="1032"/>
        <w:gridCol w:w="6803"/>
      </w:tblGrid>
      <w:tr w:rsidR="00F86CEF" w14:paraId="72AC88FC" w14:textId="77777777" w:rsidTr="00801017">
        <w:tc>
          <w:tcPr>
            <w:tcW w:w="1032" w:type="dxa"/>
            <w:shd w:val="clear" w:color="auto" w:fill="F4E6D0"/>
            <w:tcMar>
              <w:top w:w="120" w:type="dxa"/>
              <w:left w:w="120" w:type="dxa"/>
              <w:bottom w:w="120" w:type="dxa"/>
              <w:right w:w="120" w:type="dxa"/>
            </w:tcMar>
            <w:vAlign w:val="center"/>
          </w:tcPr>
          <w:p w14:paraId="4401DB2A" w14:textId="4AA14028" w:rsidR="00F86CEF" w:rsidRDefault="00F86CEF">
            <w:pPr>
              <w:jc w:val="center"/>
            </w:pPr>
          </w:p>
        </w:tc>
        <w:tc>
          <w:tcPr>
            <w:tcW w:w="6803" w:type="dxa"/>
            <w:tcMar>
              <w:top w:w="120" w:type="dxa"/>
              <w:left w:w="120" w:type="dxa"/>
              <w:bottom w:w="120" w:type="dxa"/>
              <w:right w:w="120" w:type="dxa"/>
            </w:tcMar>
            <w:vAlign w:val="center"/>
          </w:tcPr>
          <w:p w14:paraId="23CD2FF1" w14:textId="11B4F7A9" w:rsidR="00801017" w:rsidRDefault="00801017">
            <w:pPr>
              <w:rPr>
                <w:sz w:val="20"/>
              </w:rPr>
            </w:pPr>
            <w:r w:rsidRPr="00801017">
              <w:rPr>
                <w:b/>
                <w:color w:val="B42828"/>
                <w:sz w:val="44"/>
                <w:szCs w:val="48"/>
              </w:rPr>
              <w:t>Visi</w:t>
            </w:r>
          </w:p>
          <w:p w14:paraId="51BDB417" w14:textId="394E6EC4" w:rsidR="00801017" w:rsidRDefault="00000000">
            <w:pPr>
              <w:rPr>
                <w:sz w:val="20"/>
              </w:rPr>
            </w:pPr>
            <w:proofErr w:type="spellStart"/>
            <w:r>
              <w:rPr>
                <w:sz w:val="20"/>
              </w:rPr>
              <w:t>Menjadi</w:t>
            </w:r>
            <w:proofErr w:type="spellEnd"/>
            <w:r>
              <w:rPr>
                <w:sz w:val="20"/>
              </w:rPr>
              <w:t xml:space="preserve"> </w:t>
            </w:r>
            <w:proofErr w:type="spellStart"/>
            <w:r>
              <w:rPr>
                <w:sz w:val="20"/>
              </w:rPr>
              <w:t>mitra</w:t>
            </w:r>
            <w:proofErr w:type="spellEnd"/>
            <w:r>
              <w:rPr>
                <w:sz w:val="20"/>
              </w:rPr>
              <w:t xml:space="preserve"> </w:t>
            </w:r>
            <w:proofErr w:type="spellStart"/>
            <w:r>
              <w:rPr>
                <w:sz w:val="20"/>
              </w:rPr>
              <w:t>strategis</w:t>
            </w:r>
            <w:proofErr w:type="spellEnd"/>
            <w:r>
              <w:rPr>
                <w:sz w:val="20"/>
              </w:rPr>
              <w:t xml:space="preserve"> </w:t>
            </w:r>
            <w:proofErr w:type="spellStart"/>
            <w:r>
              <w:rPr>
                <w:sz w:val="20"/>
              </w:rPr>
              <w:t>terpercaya</w:t>
            </w:r>
            <w:proofErr w:type="spellEnd"/>
            <w:r>
              <w:rPr>
                <w:sz w:val="20"/>
              </w:rPr>
              <w:t xml:space="preserve"> </w:t>
            </w:r>
            <w:proofErr w:type="spellStart"/>
            <w:r>
              <w:rPr>
                <w:sz w:val="20"/>
              </w:rPr>
              <w:t>dalam</w:t>
            </w:r>
            <w:proofErr w:type="spellEnd"/>
            <w:r>
              <w:rPr>
                <w:sz w:val="20"/>
              </w:rPr>
              <w:t xml:space="preserve"> </w:t>
            </w:r>
            <w:proofErr w:type="spellStart"/>
            <w:r>
              <w:rPr>
                <w:sz w:val="20"/>
              </w:rPr>
              <w:t>transformasi</w:t>
            </w:r>
            <w:proofErr w:type="spellEnd"/>
            <w:r>
              <w:rPr>
                <w:sz w:val="20"/>
              </w:rPr>
              <w:t xml:space="preserve"> </w:t>
            </w:r>
            <w:proofErr w:type="spellStart"/>
            <w:r>
              <w:rPr>
                <w:sz w:val="20"/>
              </w:rPr>
              <w:t>organisasi</w:t>
            </w:r>
            <w:proofErr w:type="spellEnd"/>
            <w:r>
              <w:rPr>
                <w:sz w:val="20"/>
              </w:rPr>
              <w:t xml:space="preserve"> di Indonesia melalui praktik manajemen risiko, tata kelola, dan </w:t>
            </w:r>
            <w:proofErr w:type="spellStart"/>
            <w:r>
              <w:rPr>
                <w:sz w:val="20"/>
              </w:rPr>
              <w:t>keberlanjutan</w:t>
            </w:r>
            <w:proofErr w:type="spellEnd"/>
            <w:r>
              <w:rPr>
                <w:sz w:val="20"/>
              </w:rPr>
              <w:t xml:space="preserve"> yang </w:t>
            </w:r>
            <w:proofErr w:type="spellStart"/>
            <w:r>
              <w:rPr>
                <w:sz w:val="20"/>
              </w:rPr>
              <w:t>relevan</w:t>
            </w:r>
            <w:proofErr w:type="spellEnd"/>
            <w:r>
              <w:rPr>
                <w:sz w:val="20"/>
              </w:rPr>
              <w:t xml:space="preserve"> </w:t>
            </w:r>
            <w:proofErr w:type="spellStart"/>
            <w:r>
              <w:rPr>
                <w:sz w:val="20"/>
              </w:rPr>
              <w:t>serta</w:t>
            </w:r>
            <w:proofErr w:type="spellEnd"/>
            <w:r>
              <w:rPr>
                <w:sz w:val="20"/>
              </w:rPr>
              <w:t xml:space="preserve"> </w:t>
            </w:r>
            <w:proofErr w:type="spellStart"/>
            <w:r>
              <w:rPr>
                <w:sz w:val="20"/>
              </w:rPr>
              <w:t>inovatif</w:t>
            </w:r>
            <w:proofErr w:type="spellEnd"/>
            <w:r>
              <w:rPr>
                <w:sz w:val="20"/>
              </w:rPr>
              <w:t>.</w:t>
            </w:r>
          </w:p>
          <w:p w14:paraId="1641BAEB" w14:textId="10FC1C77" w:rsidR="00801017" w:rsidRPr="00801017" w:rsidRDefault="00801017" w:rsidP="00801017">
            <w:pPr>
              <w:spacing w:line="240" w:lineRule="auto"/>
              <w:rPr>
                <w:sz w:val="36"/>
                <w:szCs w:val="40"/>
              </w:rPr>
            </w:pPr>
            <w:r w:rsidRPr="00801017">
              <w:rPr>
                <w:b/>
                <w:color w:val="B42828"/>
                <w:sz w:val="44"/>
                <w:szCs w:val="48"/>
              </w:rPr>
              <w:t>Visi</w:t>
            </w:r>
          </w:p>
        </w:tc>
      </w:tr>
      <w:tr w:rsidR="00F86CEF" w14:paraId="7E3AF4AF" w14:textId="77777777" w:rsidTr="00801017">
        <w:tc>
          <w:tcPr>
            <w:tcW w:w="1032" w:type="dxa"/>
            <w:shd w:val="clear" w:color="auto" w:fill="F4E6D0"/>
            <w:tcMar>
              <w:top w:w="120" w:type="dxa"/>
              <w:left w:w="120" w:type="dxa"/>
              <w:bottom w:w="120" w:type="dxa"/>
              <w:right w:w="120" w:type="dxa"/>
            </w:tcMar>
          </w:tcPr>
          <w:p w14:paraId="60100D8D" w14:textId="189CE67D" w:rsidR="00F86CEF" w:rsidRDefault="00F86CEF" w:rsidP="00801017"/>
        </w:tc>
        <w:tc>
          <w:tcPr>
            <w:tcW w:w="6803" w:type="dxa"/>
            <w:tcMar>
              <w:top w:w="120" w:type="dxa"/>
              <w:left w:w="120" w:type="dxa"/>
              <w:bottom w:w="120" w:type="dxa"/>
              <w:right w:w="120" w:type="dxa"/>
            </w:tcMar>
          </w:tcPr>
          <w:p w14:paraId="62E4CA8A" w14:textId="77777777" w:rsidR="00F86CEF" w:rsidRDefault="00000000">
            <w:r>
              <w:rPr>
                <w:sz w:val="20"/>
              </w:rPr>
              <w:t>1) Mendampingi organisasi dalam mengembangkan kapasitas manajemen melalui solusi yang relevan dan sesuai kebutuhan.</w:t>
            </w:r>
            <w:r>
              <w:rPr>
                <w:sz w:val="20"/>
              </w:rPr>
              <w:br/>
              <w:t>2) Mendorong terbentuknya budaya manajemen risiko dan tata kelola yang kuat untuk keberlanjutan jangka panjang.</w:t>
            </w:r>
            <w:r>
              <w:rPr>
                <w:sz w:val="20"/>
              </w:rPr>
              <w:br/>
              <w:t>3) Menjalin kemitraan strategis dengan BUMN, swasta, dan institusi publik guna memperkuat daya saing bersama.</w:t>
            </w:r>
            <w:r>
              <w:rPr>
                <w:sz w:val="20"/>
              </w:rPr>
              <w:br/>
              <w:t>4) Meningkatkan kompetensi SDM melalui program pembelajaran yang praktis dan aplikatif.</w:t>
            </w:r>
            <w:r>
              <w:rPr>
                <w:sz w:val="20"/>
              </w:rPr>
              <w:br/>
              <w:t xml:space="preserve">5) Menyediakan inovasi solusi, metode, dan teknologi yang </w:t>
            </w:r>
            <w:proofErr w:type="spellStart"/>
            <w:r>
              <w:rPr>
                <w:sz w:val="20"/>
              </w:rPr>
              <w:t>membantu</w:t>
            </w:r>
            <w:proofErr w:type="spellEnd"/>
            <w:r>
              <w:rPr>
                <w:sz w:val="20"/>
              </w:rPr>
              <w:t xml:space="preserve"> </w:t>
            </w:r>
            <w:proofErr w:type="spellStart"/>
            <w:r>
              <w:rPr>
                <w:sz w:val="20"/>
              </w:rPr>
              <w:t>organisasi</w:t>
            </w:r>
            <w:proofErr w:type="spellEnd"/>
            <w:r>
              <w:rPr>
                <w:sz w:val="20"/>
              </w:rPr>
              <w:t xml:space="preserve"> </w:t>
            </w:r>
            <w:proofErr w:type="spellStart"/>
            <w:r>
              <w:rPr>
                <w:sz w:val="20"/>
              </w:rPr>
              <w:t>beradaptasi</w:t>
            </w:r>
            <w:proofErr w:type="spellEnd"/>
            <w:r>
              <w:rPr>
                <w:sz w:val="20"/>
              </w:rPr>
              <w:t xml:space="preserve"> </w:t>
            </w:r>
            <w:proofErr w:type="spellStart"/>
            <w:r>
              <w:rPr>
                <w:sz w:val="20"/>
              </w:rPr>
              <w:t>terhadap</w:t>
            </w:r>
            <w:proofErr w:type="spellEnd"/>
            <w:r>
              <w:rPr>
                <w:sz w:val="20"/>
              </w:rPr>
              <w:t xml:space="preserve"> </w:t>
            </w:r>
            <w:proofErr w:type="spellStart"/>
            <w:r>
              <w:rPr>
                <w:sz w:val="20"/>
              </w:rPr>
              <w:t>dinamika</w:t>
            </w:r>
            <w:proofErr w:type="spellEnd"/>
            <w:r>
              <w:rPr>
                <w:sz w:val="20"/>
              </w:rPr>
              <w:t xml:space="preserve"> </w:t>
            </w:r>
            <w:proofErr w:type="spellStart"/>
            <w:r>
              <w:rPr>
                <w:sz w:val="20"/>
              </w:rPr>
              <w:t>bisnis</w:t>
            </w:r>
            <w:proofErr w:type="spellEnd"/>
            <w:r>
              <w:rPr>
                <w:sz w:val="20"/>
              </w:rPr>
              <w:t>.</w:t>
            </w:r>
          </w:p>
        </w:tc>
      </w:tr>
    </w:tbl>
    <w:p w14:paraId="36C9D4A3" w14:textId="77777777" w:rsidR="00F86CEF" w:rsidRDefault="00F86CEF"/>
    <w:p w14:paraId="77EF3CD0" w14:textId="77777777" w:rsidR="00F86CEF" w:rsidRDefault="00000000">
      <w:pPr>
        <w:pStyle w:val="Heading1Custom"/>
        <w:pBdr>
          <w:bottom w:val="single" w:sz="6" w:space="1" w:color="D7A14A"/>
        </w:pBdr>
        <w:spacing w:before="80" w:after="120"/>
      </w:pPr>
      <w:r>
        <w:t>3. Layanan Utama</w:t>
      </w:r>
    </w:p>
    <w:p w14:paraId="2FFD0255" w14:textId="77777777" w:rsidR="00F86CEF" w:rsidRDefault="00000000">
      <w:pPr>
        <w:spacing w:after="120"/>
      </w:pPr>
      <w:r>
        <w:t>Layanan perusahaan dibangun untuk menjawab kebutuhan klien secara menyeluruh, baik pada aspek penguatan kapabilitas SDM maupun penyusunan dan implementasi sistem manajemen.</w:t>
      </w:r>
    </w:p>
    <w:tbl>
      <w:tblPr>
        <w:tblStyle w:val="TableGrid"/>
        <w:tblW w:w="0" w:type="auto"/>
        <w:jc w:val="center"/>
        <w:tblLayout w:type="fixed"/>
        <w:tblLook w:val="04A0" w:firstRow="1" w:lastRow="0" w:firstColumn="1" w:lastColumn="0" w:noHBand="0" w:noVBand="1"/>
      </w:tblPr>
      <w:tblGrid>
        <w:gridCol w:w="4816"/>
        <w:gridCol w:w="4816"/>
      </w:tblGrid>
      <w:tr w:rsidR="00F86CEF" w14:paraId="1F435F05" w14:textId="77777777">
        <w:trPr>
          <w:jc w:val="center"/>
        </w:trPr>
        <w:tc>
          <w:tcPr>
            <w:tcW w:w="4816" w:type="dxa"/>
            <w:shd w:val="clear" w:color="auto" w:fill="B42828"/>
          </w:tcPr>
          <w:p w14:paraId="184F39A5" w14:textId="77777777" w:rsidR="00F86CEF" w:rsidRDefault="00000000">
            <w:pPr>
              <w:jc w:val="center"/>
            </w:pPr>
            <w:r>
              <w:rPr>
                <w:b/>
                <w:color w:val="FFFFFF"/>
                <w:sz w:val="22"/>
              </w:rPr>
              <w:t>Pelatihan Profesional</w:t>
            </w:r>
          </w:p>
        </w:tc>
        <w:tc>
          <w:tcPr>
            <w:tcW w:w="4816" w:type="dxa"/>
            <w:shd w:val="clear" w:color="auto" w:fill="B42828"/>
          </w:tcPr>
          <w:p w14:paraId="32631C59" w14:textId="77777777" w:rsidR="00F86CEF" w:rsidRDefault="00000000">
            <w:pPr>
              <w:jc w:val="center"/>
            </w:pPr>
            <w:r>
              <w:rPr>
                <w:b/>
                <w:color w:val="FFFFFF"/>
                <w:sz w:val="22"/>
              </w:rPr>
              <w:t>Jasa Konsultasi</w:t>
            </w:r>
          </w:p>
        </w:tc>
      </w:tr>
      <w:tr w:rsidR="00F86CEF" w14:paraId="79A0C835" w14:textId="77777777">
        <w:trPr>
          <w:jc w:val="center"/>
        </w:trPr>
        <w:tc>
          <w:tcPr>
            <w:tcW w:w="4816" w:type="dxa"/>
          </w:tcPr>
          <w:p w14:paraId="76A110BD" w14:textId="77777777" w:rsidR="00F86CEF" w:rsidRDefault="00000000">
            <w:pPr>
              <w:ind w:left="227" w:hanging="142"/>
            </w:pPr>
            <w:r>
              <w:rPr>
                <w:sz w:val="20"/>
              </w:rPr>
              <w:t>• Manajemen Risiko dan ISO 31000</w:t>
            </w:r>
          </w:p>
          <w:p w14:paraId="1C0C1F45" w14:textId="77777777" w:rsidR="00F86CEF" w:rsidRDefault="00000000">
            <w:pPr>
              <w:ind w:left="227" w:hanging="142"/>
            </w:pPr>
            <w:r>
              <w:rPr>
                <w:sz w:val="20"/>
              </w:rPr>
              <w:t>• Tata Kelola Perusahaan (GCG)</w:t>
            </w:r>
          </w:p>
          <w:p w14:paraId="1818503E" w14:textId="77777777" w:rsidR="00F86CEF" w:rsidRDefault="00000000">
            <w:pPr>
              <w:ind w:left="227" w:hanging="142"/>
            </w:pPr>
            <w:r>
              <w:rPr>
                <w:sz w:val="20"/>
              </w:rPr>
              <w:t>• Manajemen Mutu ISO 9001</w:t>
            </w:r>
          </w:p>
          <w:p w14:paraId="77CB1A82" w14:textId="77777777" w:rsidR="00F86CEF" w:rsidRDefault="00000000">
            <w:pPr>
              <w:ind w:left="227" w:hanging="142"/>
            </w:pPr>
            <w:r>
              <w:rPr>
                <w:sz w:val="20"/>
              </w:rPr>
              <w:t>• Business Continuity Management (BCM)</w:t>
            </w:r>
          </w:p>
          <w:p w14:paraId="45C4F213" w14:textId="77777777" w:rsidR="00F86CEF" w:rsidRDefault="00000000">
            <w:pPr>
              <w:ind w:left="227" w:hanging="142"/>
            </w:pPr>
            <w:r>
              <w:rPr>
                <w:sz w:val="20"/>
              </w:rPr>
              <w:t>• Audit Internal dan Risk-Based Thinking</w:t>
            </w:r>
          </w:p>
          <w:p w14:paraId="2F879EB1" w14:textId="77777777" w:rsidR="00F86CEF" w:rsidRDefault="00000000">
            <w:pPr>
              <w:ind w:left="227" w:hanging="142"/>
            </w:pPr>
            <w:r>
              <w:rPr>
                <w:sz w:val="20"/>
              </w:rPr>
              <w:t>• Manajemen Proyek dan Kepemimpinan</w:t>
            </w:r>
          </w:p>
          <w:p w14:paraId="00DFB356" w14:textId="77777777" w:rsidR="00F86CEF" w:rsidRDefault="00F86CEF"/>
          <w:p w14:paraId="20EFA537" w14:textId="77777777" w:rsidR="00F86CEF" w:rsidRDefault="00000000">
            <w:r>
              <w:rPr>
                <w:sz w:val="20"/>
              </w:rPr>
              <w:lastRenderedPageBreak/>
              <w:t>Format pelaksanaan tersedia dalam bentuk in-house training, workshop publik, dan pelatihan online interaktif.</w:t>
            </w:r>
          </w:p>
        </w:tc>
        <w:tc>
          <w:tcPr>
            <w:tcW w:w="4816" w:type="dxa"/>
          </w:tcPr>
          <w:p w14:paraId="24A1E096" w14:textId="77777777" w:rsidR="00F86CEF" w:rsidRDefault="00000000">
            <w:pPr>
              <w:ind w:left="227" w:hanging="142"/>
            </w:pPr>
            <w:r>
              <w:rPr>
                <w:sz w:val="20"/>
              </w:rPr>
              <w:lastRenderedPageBreak/>
              <w:t>• Enterprise Risk Management (ERM)</w:t>
            </w:r>
          </w:p>
          <w:p w14:paraId="7131A2E8" w14:textId="77777777" w:rsidR="00F86CEF" w:rsidRDefault="00000000">
            <w:pPr>
              <w:ind w:left="227" w:hanging="142"/>
            </w:pPr>
            <w:r>
              <w:rPr>
                <w:sz w:val="20"/>
              </w:rPr>
              <w:t>• Penyusunan kebijakan dan SOP berbasis risiko</w:t>
            </w:r>
          </w:p>
          <w:p w14:paraId="1843A09F" w14:textId="77777777" w:rsidR="00F86CEF" w:rsidRDefault="00000000">
            <w:pPr>
              <w:ind w:left="227" w:hanging="142"/>
            </w:pPr>
            <w:r>
              <w:rPr>
                <w:sz w:val="20"/>
              </w:rPr>
              <w:t>• ISO 31000, ISO 9001, dan ISO 22301</w:t>
            </w:r>
          </w:p>
          <w:p w14:paraId="7575B911" w14:textId="77777777" w:rsidR="00F86CEF" w:rsidRDefault="00000000">
            <w:pPr>
              <w:ind w:left="227" w:hanging="142"/>
            </w:pPr>
            <w:r>
              <w:rPr>
                <w:sz w:val="20"/>
              </w:rPr>
              <w:t>• Implementasi Governance, Risk, and Compliance (GRC)</w:t>
            </w:r>
          </w:p>
          <w:p w14:paraId="4049C20E" w14:textId="77777777" w:rsidR="00F86CEF" w:rsidRDefault="00000000">
            <w:pPr>
              <w:ind w:left="227" w:hanging="142"/>
            </w:pPr>
            <w:r>
              <w:rPr>
                <w:sz w:val="20"/>
              </w:rPr>
              <w:t>• Penilaian maturitas risiko dan tata kelola</w:t>
            </w:r>
          </w:p>
          <w:p w14:paraId="68A656BE" w14:textId="77777777" w:rsidR="00F86CEF" w:rsidRDefault="00000000">
            <w:pPr>
              <w:ind w:left="227" w:hanging="142"/>
            </w:pPr>
            <w:r>
              <w:rPr>
                <w:sz w:val="20"/>
              </w:rPr>
              <w:t>• Business Impact Analysis dan strategi pemulihan</w:t>
            </w:r>
          </w:p>
          <w:p w14:paraId="43539C52" w14:textId="77777777" w:rsidR="00F86CEF" w:rsidRDefault="00000000">
            <w:proofErr w:type="spellStart"/>
            <w:r>
              <w:rPr>
                <w:sz w:val="20"/>
              </w:rPr>
              <w:lastRenderedPageBreak/>
              <w:t>Setiap</w:t>
            </w:r>
            <w:proofErr w:type="spellEnd"/>
            <w:r>
              <w:rPr>
                <w:sz w:val="20"/>
              </w:rPr>
              <w:t xml:space="preserve"> </w:t>
            </w:r>
            <w:proofErr w:type="spellStart"/>
            <w:r>
              <w:rPr>
                <w:sz w:val="20"/>
              </w:rPr>
              <w:t>penugasan</w:t>
            </w:r>
            <w:proofErr w:type="spellEnd"/>
            <w:r>
              <w:rPr>
                <w:sz w:val="20"/>
              </w:rPr>
              <w:t xml:space="preserve"> </w:t>
            </w:r>
            <w:proofErr w:type="spellStart"/>
            <w:r>
              <w:rPr>
                <w:sz w:val="20"/>
              </w:rPr>
              <w:t>disusun</w:t>
            </w:r>
            <w:proofErr w:type="spellEnd"/>
            <w:r>
              <w:rPr>
                <w:sz w:val="20"/>
              </w:rPr>
              <w:t xml:space="preserve"> </w:t>
            </w:r>
            <w:proofErr w:type="spellStart"/>
            <w:r>
              <w:rPr>
                <w:sz w:val="20"/>
              </w:rPr>
              <w:t>adaptif</w:t>
            </w:r>
            <w:proofErr w:type="spellEnd"/>
            <w:r>
              <w:rPr>
                <w:sz w:val="20"/>
              </w:rPr>
              <w:t xml:space="preserve"> terhadap ruang lingkup, kebutuhan organisasi, dan target hasil yang disepakati.</w:t>
            </w:r>
          </w:p>
        </w:tc>
      </w:tr>
    </w:tbl>
    <w:p w14:paraId="282D91F7" w14:textId="77777777" w:rsidR="00F86CEF" w:rsidRDefault="00F86CEF"/>
    <w:p w14:paraId="77457C2E" w14:textId="77777777" w:rsidR="00F86CEF" w:rsidRDefault="00000000">
      <w:pPr>
        <w:pStyle w:val="Heading1Custom"/>
        <w:pBdr>
          <w:bottom w:val="single" w:sz="6" w:space="1" w:color="D7A14A"/>
        </w:pBdr>
        <w:spacing w:before="80" w:after="120"/>
      </w:pPr>
      <w:r>
        <w:t>4. Keunggulan Kompetitif</w:t>
      </w:r>
    </w:p>
    <w:p w14:paraId="3FB9ED8B" w14:textId="77777777" w:rsidR="00F86CEF" w:rsidRDefault="00000000">
      <w:pPr>
        <w:spacing w:after="60"/>
        <w:ind w:left="283" w:hanging="170"/>
      </w:pPr>
      <w:r>
        <w:rPr>
          <w:b/>
          <w:color w:val="B42828"/>
        </w:rPr>
        <w:t xml:space="preserve">• </w:t>
      </w:r>
      <w:r>
        <w:rPr>
          <w:sz w:val="20"/>
        </w:rPr>
        <w:t>Tim berpengalaman lintas industri dengan eksposur pada sektor BUMN, keuangan, energi, infrastruktur, dan manufaktur.</w:t>
      </w:r>
    </w:p>
    <w:p w14:paraId="5ADAB8A6" w14:textId="77777777" w:rsidR="00F86CEF" w:rsidRDefault="00000000">
      <w:pPr>
        <w:spacing w:after="60"/>
        <w:ind w:left="283" w:hanging="170"/>
      </w:pPr>
      <w:r>
        <w:rPr>
          <w:b/>
          <w:color w:val="B42828"/>
        </w:rPr>
        <w:t xml:space="preserve">• </w:t>
      </w:r>
      <w:r>
        <w:rPr>
          <w:sz w:val="20"/>
        </w:rPr>
        <w:t>Pendekatan berbasis standar internasional seperti ISO, COSO, dan praktik manajemen risiko global yang relevan.</w:t>
      </w:r>
    </w:p>
    <w:p w14:paraId="13EA9944" w14:textId="77777777" w:rsidR="00F86CEF" w:rsidRDefault="00000000">
      <w:pPr>
        <w:spacing w:after="60"/>
        <w:ind w:left="283" w:hanging="170"/>
      </w:pPr>
      <w:r>
        <w:rPr>
          <w:b/>
          <w:color w:val="B42828"/>
        </w:rPr>
        <w:t xml:space="preserve">• </w:t>
      </w:r>
      <w:r>
        <w:rPr>
          <w:sz w:val="20"/>
        </w:rPr>
        <w:t>Solusi yang disesuaikan dengan kebutuhan klien, tidak bersifat generik, dan dirancang untuk dapat diimplementasikan.</w:t>
      </w:r>
    </w:p>
    <w:p w14:paraId="2A067AD4" w14:textId="77777777" w:rsidR="00F86CEF" w:rsidRDefault="00000000">
      <w:pPr>
        <w:spacing w:after="60"/>
        <w:ind w:left="283" w:hanging="170"/>
      </w:pPr>
      <w:r>
        <w:rPr>
          <w:b/>
          <w:color w:val="B42828"/>
        </w:rPr>
        <w:t xml:space="preserve">• </w:t>
      </w:r>
      <w:r>
        <w:rPr>
          <w:sz w:val="20"/>
        </w:rPr>
        <w:t>Jaringan klien yang luas serta rekam jejak yang menunjukkan tingkat kepercayaan organisasi publik maupun swasta.</w:t>
      </w:r>
    </w:p>
    <w:p w14:paraId="55A2E889" w14:textId="77777777" w:rsidR="00F86CEF" w:rsidRDefault="00000000">
      <w:pPr>
        <w:spacing w:after="60"/>
        <w:ind w:left="283" w:hanging="170"/>
      </w:pPr>
      <w:r>
        <w:rPr>
          <w:b/>
          <w:color w:val="B42828"/>
        </w:rPr>
        <w:t xml:space="preserve">• </w:t>
      </w:r>
      <w:r>
        <w:rPr>
          <w:sz w:val="20"/>
        </w:rPr>
        <w:t>Responsif terhadap perubahan regulasi, perkembangan teknologi, dan dinamika operasional organisasi.</w:t>
      </w:r>
    </w:p>
    <w:p w14:paraId="65BFC195" w14:textId="77777777" w:rsidR="00F86CEF" w:rsidRDefault="00000000">
      <w:pPr>
        <w:spacing w:after="60"/>
        <w:ind w:left="283" w:hanging="170"/>
      </w:pPr>
      <w:r>
        <w:rPr>
          <w:b/>
          <w:color w:val="B42828"/>
        </w:rPr>
        <w:t xml:space="preserve">• </w:t>
      </w:r>
      <w:r>
        <w:rPr>
          <w:sz w:val="20"/>
        </w:rPr>
        <w:t>Berorientasi pada hasil nyata dan terukur, bukan hanya penyampaian rekomendasi konseptual.</w:t>
      </w:r>
    </w:p>
    <w:p w14:paraId="08726DF7" w14:textId="77777777" w:rsidR="00F86CEF" w:rsidRDefault="00000000">
      <w:pPr>
        <w:pStyle w:val="Heading1Custom"/>
        <w:pBdr>
          <w:bottom w:val="single" w:sz="6" w:space="1" w:color="D7A14A"/>
        </w:pBdr>
        <w:spacing w:before="80" w:after="120"/>
      </w:pPr>
      <w:r>
        <w:t>5. Pengalaman Relevan di Bidang Konsultasi</w:t>
      </w:r>
    </w:p>
    <w:p w14:paraId="28F1415F" w14:textId="77777777" w:rsidR="00F86CEF" w:rsidRDefault="00000000">
      <w:pPr>
        <w:spacing w:after="120"/>
      </w:pPr>
      <w:r>
        <w:t>Perusahaan telah mendampingi berbagai organisasi dalam pengukuran, pengembangan, dan implementasi sistem manajemen risiko serta tata kelola. Contoh pengalaman relevan antara lain:</w:t>
      </w:r>
    </w:p>
    <w:p w14:paraId="4A65AC88" w14:textId="77777777" w:rsidR="00F86CEF" w:rsidRDefault="00000000">
      <w:pPr>
        <w:spacing w:after="60"/>
        <w:ind w:left="283" w:hanging="170"/>
      </w:pPr>
      <w:r>
        <w:rPr>
          <w:b/>
          <w:color w:val="B42828"/>
        </w:rPr>
        <w:t xml:space="preserve">• </w:t>
      </w:r>
      <w:r>
        <w:rPr>
          <w:sz w:val="20"/>
        </w:rPr>
        <w:t>Pengukuran Risk Maturity Index (RMI) di PLN Nusantara Power, PLN Energi Primer Indonesia, dan PLN Indonesia Power (2024).</w:t>
      </w:r>
    </w:p>
    <w:p w14:paraId="3998C123" w14:textId="77777777" w:rsidR="00F86CEF" w:rsidRDefault="00000000">
      <w:pPr>
        <w:spacing w:after="60"/>
        <w:ind w:left="283" w:hanging="170"/>
      </w:pPr>
      <w:r>
        <w:rPr>
          <w:b/>
          <w:color w:val="B42828"/>
        </w:rPr>
        <w:t xml:space="preserve">• </w:t>
      </w:r>
      <w:r>
        <w:rPr>
          <w:sz w:val="20"/>
        </w:rPr>
        <w:t>Implementasi ISO 31000 di PT Bakrie Renewable Chemicals.</w:t>
      </w:r>
    </w:p>
    <w:p w14:paraId="34362C7D" w14:textId="77777777" w:rsidR="00F86CEF" w:rsidRDefault="00000000">
      <w:pPr>
        <w:spacing w:after="60"/>
        <w:ind w:left="283" w:hanging="170"/>
      </w:pPr>
      <w:r>
        <w:rPr>
          <w:b/>
          <w:color w:val="B42828"/>
        </w:rPr>
        <w:t xml:space="preserve">• </w:t>
      </w:r>
      <w:r>
        <w:rPr>
          <w:sz w:val="20"/>
        </w:rPr>
        <w:t>Asistensi penerapan manajemen risiko di PT Tripatra Engineers and Constructors.</w:t>
      </w:r>
    </w:p>
    <w:p w14:paraId="1D5589E9" w14:textId="77777777" w:rsidR="00F86CEF" w:rsidRDefault="00000000">
      <w:pPr>
        <w:spacing w:after="60"/>
        <w:ind w:left="283" w:hanging="170"/>
      </w:pPr>
      <w:r>
        <w:rPr>
          <w:b/>
          <w:color w:val="B42828"/>
        </w:rPr>
        <w:t xml:space="preserve">• </w:t>
      </w:r>
      <w:r>
        <w:rPr>
          <w:sz w:val="20"/>
        </w:rPr>
        <w:t>Pengukuran Risk Maturity Index tahun 2022 di PT Jalin Pembayaran Nusantara.</w:t>
      </w:r>
    </w:p>
    <w:p w14:paraId="75986298" w14:textId="77777777" w:rsidR="00F86CEF" w:rsidRDefault="00000000">
      <w:pPr>
        <w:spacing w:after="60"/>
        <w:ind w:left="283" w:hanging="170"/>
      </w:pPr>
      <w:r>
        <w:rPr>
          <w:b/>
          <w:color w:val="B42828"/>
        </w:rPr>
        <w:t xml:space="preserve">• </w:t>
      </w:r>
      <w:r>
        <w:rPr>
          <w:sz w:val="20"/>
        </w:rPr>
        <w:t>Penilaian dan peningkatan Enterprise Risk Management (ERM) di PT Mitra Pinasthika Mustika Tbk.</w:t>
      </w:r>
    </w:p>
    <w:p w14:paraId="720B4ED6" w14:textId="77777777" w:rsidR="00F86CEF" w:rsidRDefault="00000000">
      <w:pPr>
        <w:spacing w:after="60"/>
        <w:ind w:left="283" w:hanging="170"/>
      </w:pPr>
      <w:r>
        <w:rPr>
          <w:b/>
          <w:color w:val="B42828"/>
        </w:rPr>
        <w:t xml:space="preserve">• </w:t>
      </w:r>
      <w:r>
        <w:rPr>
          <w:sz w:val="20"/>
        </w:rPr>
        <w:t>Konsultasi penilaian maturitas manajemen risiko di Bank Indonesia (2021, 2023, dan 2024).</w:t>
      </w:r>
    </w:p>
    <w:p w14:paraId="36DC5E0E" w14:textId="77777777" w:rsidR="00F86CEF" w:rsidRDefault="00000000">
      <w:pPr>
        <w:spacing w:after="60"/>
        <w:ind w:left="283" w:hanging="170"/>
      </w:pPr>
      <w:r>
        <w:rPr>
          <w:b/>
          <w:color w:val="B42828"/>
        </w:rPr>
        <w:t xml:space="preserve">• </w:t>
      </w:r>
      <w:r>
        <w:rPr>
          <w:sz w:val="20"/>
        </w:rPr>
        <w:t>Pengembangan dan implementasi ERM serta pengukuran maturitas risiko di PT Tripatra Engineers and Constructors.</w:t>
      </w:r>
    </w:p>
    <w:p w14:paraId="3F1111BB" w14:textId="77777777" w:rsidR="00F86CEF" w:rsidRDefault="00000000">
      <w:pPr>
        <w:spacing w:after="60"/>
        <w:ind w:left="283" w:hanging="170"/>
      </w:pPr>
      <w:r>
        <w:rPr>
          <w:b/>
          <w:color w:val="B42828"/>
        </w:rPr>
        <w:t xml:space="preserve">• </w:t>
      </w:r>
      <w:r>
        <w:rPr>
          <w:sz w:val="20"/>
        </w:rPr>
        <w:t>Penilaian maturitas Enterprise Risk Management di PT PLN (Persero).</w:t>
      </w:r>
    </w:p>
    <w:p w14:paraId="0CE21A30" w14:textId="77777777" w:rsidR="00F86CEF" w:rsidRDefault="00000000">
      <w:pPr>
        <w:spacing w:after="60"/>
        <w:ind w:left="283" w:hanging="170"/>
      </w:pPr>
      <w:r>
        <w:rPr>
          <w:b/>
          <w:color w:val="B42828"/>
        </w:rPr>
        <w:t xml:space="preserve">• </w:t>
      </w:r>
      <w:r>
        <w:rPr>
          <w:sz w:val="20"/>
        </w:rPr>
        <w:t>Pengukuran Risk Maturity Index tahun 2020 di PT Jasa Marga (Persero) Tbk.</w:t>
      </w:r>
    </w:p>
    <w:p w14:paraId="59136273" w14:textId="77777777" w:rsidR="00F86CEF" w:rsidRDefault="00000000">
      <w:pPr>
        <w:spacing w:after="60"/>
        <w:ind w:left="283" w:hanging="170"/>
      </w:pPr>
      <w:r>
        <w:rPr>
          <w:b/>
          <w:color w:val="B42828"/>
        </w:rPr>
        <w:t xml:space="preserve">• </w:t>
      </w:r>
      <w:r>
        <w:rPr>
          <w:sz w:val="20"/>
        </w:rPr>
        <w:t>Workshop dan asesmen tingkat kematangan manajemen risiko di PT Pembangkit Jawa-Bali.</w:t>
      </w:r>
    </w:p>
    <w:p w14:paraId="57B4CCC3" w14:textId="77777777" w:rsidR="00F86CEF" w:rsidRDefault="00000000">
      <w:pPr>
        <w:spacing w:after="60"/>
        <w:ind w:left="283" w:hanging="170"/>
      </w:pPr>
      <w:r>
        <w:rPr>
          <w:b/>
          <w:color w:val="B42828"/>
        </w:rPr>
        <w:t xml:space="preserve">• </w:t>
      </w:r>
      <w:r>
        <w:rPr>
          <w:sz w:val="20"/>
        </w:rPr>
        <w:t>Pengembangan implementasi manajemen risiko untuk peningkatan efektivitas dan maturitas di PT PLN Pusat (Persero).</w:t>
      </w:r>
    </w:p>
    <w:p w14:paraId="4E203FC3" w14:textId="77777777" w:rsidR="00F86CEF" w:rsidRDefault="00000000">
      <w:pPr>
        <w:spacing w:after="60"/>
        <w:ind w:left="283" w:hanging="170"/>
      </w:pPr>
      <w:r>
        <w:rPr>
          <w:b/>
          <w:color w:val="B42828"/>
        </w:rPr>
        <w:t xml:space="preserve">• </w:t>
      </w:r>
      <w:r>
        <w:rPr>
          <w:sz w:val="20"/>
        </w:rPr>
        <w:t>Implementasi manajemen risiko di PT Reasuransi Indonesia Utama (Persero).</w:t>
      </w:r>
    </w:p>
    <w:p w14:paraId="463AFD65" w14:textId="77777777" w:rsidR="00F86CEF" w:rsidRDefault="00000000">
      <w:pPr>
        <w:pStyle w:val="Heading1Custom"/>
        <w:pBdr>
          <w:bottom w:val="single" w:sz="6" w:space="1" w:color="D7A14A"/>
        </w:pBdr>
        <w:spacing w:before="80" w:after="120"/>
      </w:pPr>
      <w:r>
        <w:t>6. Pengalaman Fasilitasi Training dan Workshop</w:t>
      </w:r>
    </w:p>
    <w:p w14:paraId="6017F890" w14:textId="77777777" w:rsidR="00F86CEF" w:rsidRDefault="00000000">
      <w:pPr>
        <w:spacing w:after="120"/>
      </w:pPr>
      <w:r>
        <w:t>Selain penugasan konsultansi, perusahaan juga memiliki pengalaman luas dalam pelatihan, workshop, capacity building, dan program sertifikasi. Beberapa kegiatan yang pernah difasilitasi meliputi:</w:t>
      </w:r>
    </w:p>
    <w:p w14:paraId="12A7833B" w14:textId="77777777" w:rsidR="00F86CEF" w:rsidRDefault="00000000">
      <w:pPr>
        <w:spacing w:after="60"/>
        <w:ind w:left="283" w:hanging="170"/>
      </w:pPr>
      <w:r>
        <w:rPr>
          <w:b/>
          <w:color w:val="B42828"/>
        </w:rPr>
        <w:t xml:space="preserve">• </w:t>
      </w:r>
      <w:r>
        <w:rPr>
          <w:sz w:val="20"/>
        </w:rPr>
        <w:t>Training Internal Control Testing – PT PLN UPDL Jakarta.</w:t>
      </w:r>
    </w:p>
    <w:p w14:paraId="3F623CE2" w14:textId="77777777" w:rsidR="00F86CEF" w:rsidRDefault="00000000">
      <w:pPr>
        <w:spacing w:after="60"/>
        <w:ind w:left="283" w:hanging="170"/>
      </w:pPr>
      <w:r>
        <w:rPr>
          <w:b/>
          <w:color w:val="B42828"/>
        </w:rPr>
        <w:t xml:space="preserve">• </w:t>
      </w:r>
      <w:r>
        <w:rPr>
          <w:sz w:val="20"/>
        </w:rPr>
        <w:t>Training Risk Governance – EMTEK Group.</w:t>
      </w:r>
    </w:p>
    <w:p w14:paraId="36C68AC3" w14:textId="77777777" w:rsidR="00F86CEF" w:rsidRDefault="00000000">
      <w:pPr>
        <w:spacing w:after="60"/>
        <w:ind w:left="283" w:hanging="170"/>
      </w:pPr>
      <w:r>
        <w:rPr>
          <w:b/>
          <w:color w:val="B42828"/>
        </w:rPr>
        <w:lastRenderedPageBreak/>
        <w:t xml:space="preserve">• </w:t>
      </w:r>
      <w:r>
        <w:rPr>
          <w:sz w:val="20"/>
        </w:rPr>
        <w:t>Training Enterprise Risk Governance – PT Penjamin Infrastruktur Indonesia.</w:t>
      </w:r>
    </w:p>
    <w:p w14:paraId="79C61A73" w14:textId="77777777" w:rsidR="00F86CEF" w:rsidRDefault="00000000">
      <w:pPr>
        <w:spacing w:after="60"/>
        <w:ind w:left="283" w:hanging="170"/>
      </w:pPr>
      <w:r>
        <w:rPr>
          <w:b/>
          <w:color w:val="B42828"/>
        </w:rPr>
        <w:t xml:space="preserve">• </w:t>
      </w:r>
      <w:r>
        <w:rPr>
          <w:sz w:val="20"/>
        </w:rPr>
        <w:t>Workshop Risk Assessment and Risk Register – PT Kilang Pertamina Internasional.</w:t>
      </w:r>
    </w:p>
    <w:p w14:paraId="3FF1B626" w14:textId="77777777" w:rsidR="00F86CEF" w:rsidRDefault="00000000">
      <w:pPr>
        <w:spacing w:after="60"/>
        <w:ind w:left="283" w:hanging="170"/>
      </w:pPr>
      <w:r>
        <w:rPr>
          <w:b/>
          <w:color w:val="B42828"/>
        </w:rPr>
        <w:t xml:space="preserve">• </w:t>
      </w:r>
      <w:r>
        <w:rPr>
          <w:sz w:val="20"/>
        </w:rPr>
        <w:t>Capacity Building: Risk Partner dan Internal Control Officer – Bank Indonesia.</w:t>
      </w:r>
    </w:p>
    <w:p w14:paraId="36E599C3" w14:textId="77777777" w:rsidR="00F86CEF" w:rsidRDefault="00000000">
      <w:pPr>
        <w:spacing w:after="60"/>
        <w:ind w:left="283" w:hanging="170"/>
      </w:pPr>
      <w:r>
        <w:rPr>
          <w:b/>
          <w:color w:val="B42828"/>
        </w:rPr>
        <w:t xml:space="preserve">• </w:t>
      </w:r>
      <w:r>
        <w:rPr>
          <w:sz w:val="20"/>
        </w:rPr>
        <w:t>Business Continuity Management System – PLN Pusat.</w:t>
      </w:r>
    </w:p>
    <w:p w14:paraId="21488C08" w14:textId="4AAD234B" w:rsidR="00F86CEF" w:rsidRDefault="00000000">
      <w:pPr>
        <w:spacing w:after="60"/>
        <w:ind w:left="283" w:hanging="170"/>
      </w:pPr>
      <w:r>
        <w:rPr>
          <w:b/>
          <w:color w:val="B42828"/>
        </w:rPr>
        <w:t xml:space="preserve">• </w:t>
      </w:r>
      <w:r>
        <w:rPr>
          <w:sz w:val="20"/>
        </w:rPr>
        <w:t>Training for Trainer: Peraturan Menteri BUMN No. 2 – CRMS</w:t>
      </w:r>
    </w:p>
    <w:p w14:paraId="7730DF9A" w14:textId="77777777" w:rsidR="00F86CEF" w:rsidRDefault="00000000">
      <w:pPr>
        <w:spacing w:after="60"/>
        <w:ind w:left="283" w:hanging="170"/>
      </w:pPr>
      <w:r>
        <w:rPr>
          <w:b/>
          <w:color w:val="B42828"/>
        </w:rPr>
        <w:t xml:space="preserve">• </w:t>
      </w:r>
      <w:r>
        <w:rPr>
          <w:sz w:val="20"/>
        </w:rPr>
        <w:t>Sustainable Journey: Powered by GRC, Driven by Data – Peruri.</w:t>
      </w:r>
    </w:p>
    <w:p w14:paraId="28FF08D7" w14:textId="77777777" w:rsidR="00F86CEF" w:rsidRDefault="00000000">
      <w:pPr>
        <w:spacing w:after="60"/>
        <w:ind w:left="283" w:hanging="170"/>
      </w:pPr>
      <w:r>
        <w:rPr>
          <w:b/>
          <w:color w:val="B42828"/>
        </w:rPr>
        <w:t xml:space="preserve">• </w:t>
      </w:r>
      <w:r>
        <w:rPr>
          <w:sz w:val="20"/>
        </w:rPr>
        <w:t>Risk Management Maturity Assessment – Badan Pemeriksa Keuangan.</w:t>
      </w:r>
    </w:p>
    <w:p w14:paraId="5B02D72D" w14:textId="77777777" w:rsidR="00F86CEF" w:rsidRDefault="00000000">
      <w:pPr>
        <w:spacing w:after="60"/>
        <w:ind w:left="283" w:hanging="170"/>
      </w:pPr>
      <w:r>
        <w:rPr>
          <w:b/>
          <w:color w:val="B42828"/>
        </w:rPr>
        <w:t xml:space="preserve">• </w:t>
      </w:r>
      <w:r>
        <w:rPr>
          <w:sz w:val="20"/>
        </w:rPr>
        <w:t>Risk-Based Decision – LPS dan Pupuk Indonesia.</w:t>
      </w:r>
    </w:p>
    <w:p w14:paraId="1705C699" w14:textId="77777777" w:rsidR="00F86CEF" w:rsidRDefault="00000000">
      <w:pPr>
        <w:spacing w:after="60"/>
        <w:ind w:left="283" w:hanging="170"/>
      </w:pPr>
      <w:r>
        <w:rPr>
          <w:b/>
          <w:color w:val="B42828"/>
        </w:rPr>
        <w:t xml:space="preserve">• </w:t>
      </w:r>
      <w:r>
        <w:rPr>
          <w:sz w:val="20"/>
        </w:rPr>
        <w:t>Project Risk Management – PT Pelita Air Service.</w:t>
      </w:r>
    </w:p>
    <w:p w14:paraId="53A0889D" w14:textId="77777777" w:rsidR="00F86CEF" w:rsidRDefault="00000000">
      <w:pPr>
        <w:spacing w:after="60"/>
        <w:ind w:left="283" w:hanging="170"/>
      </w:pPr>
      <w:r>
        <w:rPr>
          <w:b/>
          <w:color w:val="B42828"/>
        </w:rPr>
        <w:t xml:space="preserve">• </w:t>
      </w:r>
      <w:r>
        <w:rPr>
          <w:sz w:val="20"/>
        </w:rPr>
        <w:t>Workshop Upside Risk – BPJS Ketenagakerjaan.</w:t>
      </w:r>
    </w:p>
    <w:p w14:paraId="50A5CF3E" w14:textId="77777777" w:rsidR="00F86CEF" w:rsidRDefault="00000000">
      <w:pPr>
        <w:spacing w:after="60"/>
        <w:ind w:left="283" w:hanging="170"/>
      </w:pPr>
      <w:r>
        <w:rPr>
          <w:b/>
          <w:color w:val="B42828"/>
        </w:rPr>
        <w:t xml:space="preserve">• </w:t>
      </w:r>
      <w:r>
        <w:rPr>
          <w:sz w:val="20"/>
        </w:rPr>
        <w:t>Internal Control dan Risk Control Self Assessment – ASDP.</w:t>
      </w:r>
    </w:p>
    <w:p w14:paraId="040C600F" w14:textId="77777777" w:rsidR="00F86CEF" w:rsidRDefault="00000000">
      <w:pPr>
        <w:spacing w:after="60"/>
        <w:ind w:left="283" w:hanging="170"/>
      </w:pPr>
      <w:r>
        <w:rPr>
          <w:b/>
          <w:color w:val="B42828"/>
        </w:rPr>
        <w:t xml:space="preserve">• </w:t>
      </w:r>
      <w:r>
        <w:rPr>
          <w:sz w:val="20"/>
        </w:rPr>
        <w:t>Risk Register, ERMF, dan RCSA – YKK Bank Indonesia.</w:t>
      </w:r>
    </w:p>
    <w:p w14:paraId="69CDCD74" w14:textId="77777777" w:rsidR="00F86CEF" w:rsidRDefault="00000000">
      <w:pPr>
        <w:spacing w:after="60"/>
        <w:ind w:left="283" w:hanging="170"/>
      </w:pPr>
      <w:r>
        <w:rPr>
          <w:b/>
          <w:color w:val="B42828"/>
        </w:rPr>
        <w:t xml:space="preserve">• </w:t>
      </w:r>
      <w:r>
        <w:rPr>
          <w:sz w:val="20"/>
        </w:rPr>
        <w:t>Key Risk Indicator – Kilang Pertamina Internasional.</w:t>
      </w:r>
    </w:p>
    <w:p w14:paraId="174FC937" w14:textId="77777777" w:rsidR="00F86CEF" w:rsidRDefault="00000000">
      <w:pPr>
        <w:spacing w:after="60"/>
        <w:ind w:left="283" w:hanging="170"/>
      </w:pPr>
      <w:r>
        <w:rPr>
          <w:b/>
          <w:color w:val="B42828"/>
        </w:rPr>
        <w:t xml:space="preserve">• </w:t>
      </w:r>
      <w:r>
        <w:rPr>
          <w:sz w:val="20"/>
        </w:rPr>
        <w:t>Pelatihan sertifikasi QRMO, QRMA, QRMP, QCRO, QRGP, CIAP, CIAO, dan CCIA.</w:t>
      </w:r>
    </w:p>
    <w:p w14:paraId="6AE6EFEF" w14:textId="77777777" w:rsidR="00F86CEF" w:rsidRDefault="00000000">
      <w:r>
        <w:br w:type="page"/>
      </w:r>
    </w:p>
    <w:p w14:paraId="388FA36E" w14:textId="77777777" w:rsidR="00F86CEF" w:rsidRDefault="00000000">
      <w:pPr>
        <w:pStyle w:val="Heading1Custom"/>
        <w:pBdr>
          <w:bottom w:val="single" w:sz="6" w:space="1" w:color="D7A14A"/>
        </w:pBdr>
        <w:spacing w:before="80" w:after="120"/>
      </w:pPr>
      <w:r>
        <w:lastRenderedPageBreak/>
        <w:t>7. Cakupan Klien</w:t>
      </w:r>
    </w:p>
    <w:p w14:paraId="797D7352" w14:textId="77777777" w:rsidR="00F86CEF" w:rsidRDefault="00000000">
      <w:pPr>
        <w:spacing w:after="120"/>
      </w:pPr>
      <w:r>
        <w:t>Berdasarkan company profile, perusahaan telah dipercaya oleh beragam klien dari sektor regulator, BUMN, anak perusahaan BUMN, lembaga jasa keuangan, transportasi, energi, pelabuhan, asuransi, dan sektor swasta lainnya. Kepercayaan tersebut memperlihatkan kemampuan perusahaan untuk bekerja pada lingkungan yang memiliki tuntutan tata kelola, kepatuhan, serta kompleksitas operasional yang tinggi.</w:t>
      </w:r>
    </w:p>
    <w:tbl>
      <w:tblPr>
        <w:tblW w:w="0" w:type="auto"/>
        <w:jc w:val="center"/>
        <w:tblLayout w:type="fixed"/>
        <w:tblLook w:val="04A0" w:firstRow="1" w:lastRow="0" w:firstColumn="1" w:lastColumn="0" w:noHBand="0" w:noVBand="1"/>
      </w:tblPr>
      <w:tblGrid>
        <w:gridCol w:w="2408"/>
        <w:gridCol w:w="2408"/>
        <w:gridCol w:w="2408"/>
        <w:gridCol w:w="2408"/>
      </w:tblGrid>
      <w:tr w:rsidR="00F86CEF" w14:paraId="291BB603" w14:textId="77777777">
        <w:trPr>
          <w:jc w:val="center"/>
        </w:trPr>
        <w:tc>
          <w:tcPr>
            <w:tcW w:w="2408" w:type="dxa"/>
            <w:shd w:val="clear" w:color="auto" w:fill="FAF7F2"/>
            <w:vAlign w:val="center"/>
          </w:tcPr>
          <w:p w14:paraId="5CBE121D" w14:textId="77777777" w:rsidR="00F86CEF" w:rsidRDefault="00000000">
            <w:pPr>
              <w:jc w:val="center"/>
            </w:pPr>
            <w:r>
              <w:rPr>
                <w:sz w:val="19"/>
              </w:rPr>
              <w:t>Bank Indonesia</w:t>
            </w:r>
          </w:p>
        </w:tc>
        <w:tc>
          <w:tcPr>
            <w:tcW w:w="2408" w:type="dxa"/>
            <w:shd w:val="clear" w:color="auto" w:fill="FAF7F2"/>
            <w:vAlign w:val="center"/>
          </w:tcPr>
          <w:p w14:paraId="02C9D029" w14:textId="77777777" w:rsidR="00F86CEF" w:rsidRDefault="00000000">
            <w:pPr>
              <w:jc w:val="center"/>
            </w:pPr>
            <w:r>
              <w:rPr>
                <w:sz w:val="19"/>
              </w:rPr>
              <w:t>Jasa Marga</w:t>
            </w:r>
          </w:p>
        </w:tc>
        <w:tc>
          <w:tcPr>
            <w:tcW w:w="2408" w:type="dxa"/>
            <w:shd w:val="clear" w:color="auto" w:fill="FAF7F2"/>
            <w:vAlign w:val="center"/>
          </w:tcPr>
          <w:p w14:paraId="13435E68" w14:textId="77777777" w:rsidR="00F86CEF" w:rsidRDefault="00000000">
            <w:pPr>
              <w:jc w:val="center"/>
            </w:pPr>
            <w:r>
              <w:rPr>
                <w:sz w:val="19"/>
              </w:rPr>
              <w:t>Pertamina</w:t>
            </w:r>
          </w:p>
        </w:tc>
        <w:tc>
          <w:tcPr>
            <w:tcW w:w="2408" w:type="dxa"/>
            <w:shd w:val="clear" w:color="auto" w:fill="FAF7F2"/>
            <w:vAlign w:val="center"/>
          </w:tcPr>
          <w:p w14:paraId="1A898764" w14:textId="77777777" w:rsidR="00F86CEF" w:rsidRDefault="00000000">
            <w:pPr>
              <w:jc w:val="center"/>
            </w:pPr>
            <w:r>
              <w:rPr>
                <w:sz w:val="19"/>
              </w:rPr>
              <w:t>Lembaga Penjamin Simpanan</w:t>
            </w:r>
          </w:p>
        </w:tc>
      </w:tr>
      <w:tr w:rsidR="00F86CEF" w14:paraId="75AA73B3" w14:textId="77777777">
        <w:trPr>
          <w:jc w:val="center"/>
        </w:trPr>
        <w:tc>
          <w:tcPr>
            <w:tcW w:w="2408" w:type="dxa"/>
            <w:vAlign w:val="center"/>
          </w:tcPr>
          <w:p w14:paraId="27224AC9" w14:textId="77777777" w:rsidR="00F86CEF" w:rsidRDefault="00000000">
            <w:pPr>
              <w:jc w:val="center"/>
            </w:pPr>
            <w:r>
              <w:rPr>
                <w:sz w:val="19"/>
              </w:rPr>
              <w:t>PLN Group</w:t>
            </w:r>
          </w:p>
        </w:tc>
        <w:tc>
          <w:tcPr>
            <w:tcW w:w="2408" w:type="dxa"/>
            <w:vAlign w:val="center"/>
          </w:tcPr>
          <w:p w14:paraId="699BD59D" w14:textId="77777777" w:rsidR="00F86CEF" w:rsidRDefault="00000000">
            <w:pPr>
              <w:jc w:val="center"/>
            </w:pPr>
            <w:r>
              <w:rPr>
                <w:sz w:val="19"/>
              </w:rPr>
              <w:t>IndonesiaRe</w:t>
            </w:r>
          </w:p>
        </w:tc>
        <w:tc>
          <w:tcPr>
            <w:tcW w:w="2408" w:type="dxa"/>
            <w:vAlign w:val="center"/>
          </w:tcPr>
          <w:p w14:paraId="1A5EC4A6" w14:textId="77777777" w:rsidR="00F86CEF" w:rsidRDefault="00000000">
            <w:pPr>
              <w:jc w:val="center"/>
            </w:pPr>
            <w:r>
              <w:rPr>
                <w:sz w:val="19"/>
              </w:rPr>
              <w:t>Otoritas Jasa Keuangan</w:t>
            </w:r>
          </w:p>
        </w:tc>
        <w:tc>
          <w:tcPr>
            <w:tcW w:w="2408" w:type="dxa"/>
            <w:vAlign w:val="center"/>
          </w:tcPr>
          <w:p w14:paraId="40AADB43" w14:textId="77777777" w:rsidR="00F86CEF" w:rsidRDefault="00000000">
            <w:pPr>
              <w:jc w:val="center"/>
            </w:pPr>
            <w:r>
              <w:rPr>
                <w:sz w:val="19"/>
              </w:rPr>
              <w:t>Waskita Precast</w:t>
            </w:r>
          </w:p>
        </w:tc>
      </w:tr>
      <w:tr w:rsidR="00F86CEF" w14:paraId="6E1A8336" w14:textId="77777777">
        <w:trPr>
          <w:jc w:val="center"/>
        </w:trPr>
        <w:tc>
          <w:tcPr>
            <w:tcW w:w="2408" w:type="dxa"/>
            <w:shd w:val="clear" w:color="auto" w:fill="FAF7F2"/>
            <w:vAlign w:val="center"/>
          </w:tcPr>
          <w:p w14:paraId="27259C7B" w14:textId="77777777" w:rsidR="00F86CEF" w:rsidRDefault="00000000">
            <w:pPr>
              <w:jc w:val="center"/>
            </w:pPr>
            <w:r>
              <w:rPr>
                <w:sz w:val="19"/>
              </w:rPr>
              <w:t>ASDP</w:t>
            </w:r>
          </w:p>
        </w:tc>
        <w:tc>
          <w:tcPr>
            <w:tcW w:w="2408" w:type="dxa"/>
            <w:shd w:val="clear" w:color="auto" w:fill="FAF7F2"/>
            <w:vAlign w:val="center"/>
          </w:tcPr>
          <w:p w14:paraId="68F0D74C" w14:textId="77777777" w:rsidR="00F86CEF" w:rsidRDefault="00000000">
            <w:pPr>
              <w:jc w:val="center"/>
            </w:pPr>
            <w:r>
              <w:rPr>
                <w:sz w:val="19"/>
              </w:rPr>
              <w:t>Tripatra</w:t>
            </w:r>
          </w:p>
        </w:tc>
        <w:tc>
          <w:tcPr>
            <w:tcW w:w="2408" w:type="dxa"/>
            <w:shd w:val="clear" w:color="auto" w:fill="FAF7F2"/>
            <w:vAlign w:val="center"/>
          </w:tcPr>
          <w:p w14:paraId="7A807CC9" w14:textId="77777777" w:rsidR="00F86CEF" w:rsidRDefault="00000000">
            <w:pPr>
              <w:jc w:val="center"/>
            </w:pPr>
            <w:r>
              <w:rPr>
                <w:sz w:val="19"/>
              </w:rPr>
              <w:t>Jasa Raharja</w:t>
            </w:r>
          </w:p>
        </w:tc>
        <w:tc>
          <w:tcPr>
            <w:tcW w:w="2408" w:type="dxa"/>
            <w:shd w:val="clear" w:color="auto" w:fill="FAF7F2"/>
            <w:vAlign w:val="center"/>
          </w:tcPr>
          <w:p w14:paraId="2E4026BA" w14:textId="77777777" w:rsidR="00F86CEF" w:rsidRDefault="00000000">
            <w:pPr>
              <w:jc w:val="center"/>
            </w:pPr>
            <w:r>
              <w:rPr>
                <w:sz w:val="19"/>
              </w:rPr>
              <w:t>Prima Indonesia Logistics</w:t>
            </w:r>
          </w:p>
        </w:tc>
      </w:tr>
      <w:tr w:rsidR="00F86CEF" w14:paraId="29F46ADC" w14:textId="77777777">
        <w:trPr>
          <w:jc w:val="center"/>
        </w:trPr>
        <w:tc>
          <w:tcPr>
            <w:tcW w:w="2408" w:type="dxa"/>
            <w:vAlign w:val="center"/>
          </w:tcPr>
          <w:p w14:paraId="0A28A010" w14:textId="77777777" w:rsidR="00F86CEF" w:rsidRDefault="00000000">
            <w:pPr>
              <w:jc w:val="center"/>
            </w:pPr>
            <w:r>
              <w:rPr>
                <w:sz w:val="19"/>
              </w:rPr>
              <w:t>Taspen</w:t>
            </w:r>
          </w:p>
        </w:tc>
        <w:tc>
          <w:tcPr>
            <w:tcW w:w="2408" w:type="dxa"/>
            <w:vAlign w:val="center"/>
          </w:tcPr>
          <w:p w14:paraId="53913996" w14:textId="77777777" w:rsidR="00F86CEF" w:rsidRDefault="00000000">
            <w:pPr>
              <w:jc w:val="center"/>
            </w:pPr>
            <w:r>
              <w:rPr>
                <w:sz w:val="19"/>
              </w:rPr>
              <w:t>Pelindo</w:t>
            </w:r>
          </w:p>
        </w:tc>
        <w:tc>
          <w:tcPr>
            <w:tcW w:w="2408" w:type="dxa"/>
            <w:vAlign w:val="center"/>
          </w:tcPr>
          <w:p w14:paraId="055B1D0B" w14:textId="77777777" w:rsidR="00F86CEF" w:rsidRDefault="00000000">
            <w:pPr>
              <w:jc w:val="center"/>
            </w:pPr>
            <w:r>
              <w:rPr>
                <w:sz w:val="19"/>
              </w:rPr>
              <w:t>Peruri</w:t>
            </w:r>
          </w:p>
        </w:tc>
        <w:tc>
          <w:tcPr>
            <w:tcW w:w="2408" w:type="dxa"/>
            <w:vAlign w:val="center"/>
          </w:tcPr>
          <w:p w14:paraId="1375D18B" w14:textId="77777777" w:rsidR="00F86CEF" w:rsidRDefault="00000000">
            <w:pPr>
              <w:jc w:val="center"/>
            </w:pPr>
            <w:r>
              <w:rPr>
                <w:sz w:val="19"/>
              </w:rPr>
              <w:t>Astra/TAF</w:t>
            </w:r>
          </w:p>
        </w:tc>
      </w:tr>
      <w:tr w:rsidR="00F86CEF" w14:paraId="46E3D328" w14:textId="77777777">
        <w:trPr>
          <w:jc w:val="center"/>
        </w:trPr>
        <w:tc>
          <w:tcPr>
            <w:tcW w:w="2408" w:type="dxa"/>
            <w:shd w:val="clear" w:color="auto" w:fill="FAF7F2"/>
            <w:vAlign w:val="center"/>
          </w:tcPr>
          <w:p w14:paraId="20B43797" w14:textId="77777777" w:rsidR="00F86CEF" w:rsidRDefault="00000000">
            <w:pPr>
              <w:jc w:val="center"/>
            </w:pPr>
            <w:r>
              <w:rPr>
                <w:sz w:val="19"/>
              </w:rPr>
              <w:t>Jakpro</w:t>
            </w:r>
          </w:p>
        </w:tc>
        <w:tc>
          <w:tcPr>
            <w:tcW w:w="2408" w:type="dxa"/>
            <w:shd w:val="clear" w:color="auto" w:fill="FAF7F2"/>
            <w:vAlign w:val="center"/>
          </w:tcPr>
          <w:p w14:paraId="3CC56224" w14:textId="77777777" w:rsidR="00F86CEF" w:rsidRDefault="00000000">
            <w:pPr>
              <w:jc w:val="center"/>
            </w:pPr>
            <w:r>
              <w:rPr>
                <w:sz w:val="19"/>
              </w:rPr>
              <w:t>MPM Insurance</w:t>
            </w:r>
          </w:p>
        </w:tc>
        <w:tc>
          <w:tcPr>
            <w:tcW w:w="2408" w:type="dxa"/>
            <w:shd w:val="clear" w:color="auto" w:fill="FAF7F2"/>
            <w:vAlign w:val="center"/>
          </w:tcPr>
          <w:p w14:paraId="7B52C116" w14:textId="77777777" w:rsidR="00F86CEF" w:rsidRDefault="00000000">
            <w:pPr>
              <w:jc w:val="center"/>
            </w:pPr>
            <w:r>
              <w:rPr>
                <w:sz w:val="19"/>
              </w:rPr>
              <w:t>SMF</w:t>
            </w:r>
          </w:p>
        </w:tc>
        <w:tc>
          <w:tcPr>
            <w:tcW w:w="2408" w:type="dxa"/>
            <w:shd w:val="clear" w:color="auto" w:fill="FAF7F2"/>
            <w:vAlign w:val="center"/>
          </w:tcPr>
          <w:p w14:paraId="30C66A2B" w14:textId="77777777" w:rsidR="00F86CEF" w:rsidRDefault="00000000">
            <w:pPr>
              <w:jc w:val="center"/>
            </w:pPr>
            <w:r>
              <w:rPr>
                <w:sz w:val="19"/>
              </w:rPr>
              <w:t>KPEI</w:t>
            </w:r>
          </w:p>
        </w:tc>
      </w:tr>
    </w:tbl>
    <w:p w14:paraId="2D286FB6" w14:textId="77777777" w:rsidR="00F86CEF" w:rsidRDefault="00F86CEF"/>
    <w:p w14:paraId="03526C37" w14:textId="77777777" w:rsidR="00F86CEF" w:rsidRDefault="00000000">
      <w:pPr>
        <w:pStyle w:val="Heading1Custom"/>
        <w:pBdr>
          <w:bottom w:val="single" w:sz="6" w:space="1" w:color="D7A14A"/>
        </w:pBdr>
        <w:spacing w:before="80" w:after="120"/>
      </w:pPr>
      <w:r>
        <w:t>8. Relevansi untuk Pelaksanaan Proyek</w:t>
      </w:r>
    </w:p>
    <w:p w14:paraId="0C0E3E52" w14:textId="2A77F22B" w:rsidR="00F86CEF" w:rsidRDefault="00000000">
      <w:pPr>
        <w:spacing w:after="120"/>
      </w:pPr>
      <w:r>
        <w:t xml:space="preserve">Dengan kombinasi pengalaman konsultansi, fasilitasi pelatihan, serta pemahaman terhadap kebutuhan tata </w:t>
      </w:r>
      <w:proofErr w:type="spellStart"/>
      <w:r>
        <w:t>kelola</w:t>
      </w:r>
      <w:proofErr w:type="spellEnd"/>
      <w:r>
        <w:t xml:space="preserve"> </w:t>
      </w:r>
      <w:proofErr w:type="spellStart"/>
      <w:r>
        <w:t>organisasi</w:t>
      </w:r>
      <w:proofErr w:type="spellEnd"/>
      <w:r>
        <w:t xml:space="preserve">, PT </w:t>
      </w:r>
      <w:r w:rsidR="008359D7">
        <w:t>Risk Resolution Intelligent</w:t>
      </w:r>
      <w:r>
        <w:t xml:space="preserve"> </w:t>
      </w:r>
      <w:proofErr w:type="spellStart"/>
      <w:r>
        <w:t>memiliki</w:t>
      </w:r>
      <w:proofErr w:type="spellEnd"/>
      <w:r>
        <w:t xml:space="preserve"> </w:t>
      </w:r>
      <w:proofErr w:type="spellStart"/>
      <w:r>
        <w:t>kapabilitas</w:t>
      </w:r>
      <w:proofErr w:type="spellEnd"/>
      <w:r>
        <w:t xml:space="preserve"> yang memadai untuk mendukung pelaksanaan proyek secara profesional. Pengalaman pada organisasi besar dan sektor yang highly regulated menunjukkan kemampuan perusahaan dalam bekerja dengan pendekatan yang terstruktur, kolaboratif, dan berorientasi hasil.</w:t>
      </w:r>
    </w:p>
    <w:p w14:paraId="19797615" w14:textId="77777777" w:rsidR="00F86CEF" w:rsidRDefault="00000000">
      <w:pPr>
        <w:spacing w:after="120"/>
      </w:pPr>
      <w:r>
        <w:t>Sebagai bagian dari proposal proyek, profil perusahaan ini dimaksudkan untuk memberikan keyakinan kepada pengguna jasa bahwa penyedia memiliki kompetensi, pengalaman, dan kesiapan sumber daya yang relevan dengan kebutuhan pekerjaan.</w:t>
      </w:r>
    </w:p>
    <w:p w14:paraId="63B3C721" w14:textId="77777777" w:rsidR="00F86CEF" w:rsidRDefault="00000000">
      <w:pPr>
        <w:pStyle w:val="Heading1Custom"/>
        <w:pBdr>
          <w:bottom w:val="single" w:sz="6" w:space="1" w:color="D7A14A"/>
        </w:pBdr>
        <w:spacing w:before="80" w:after="120"/>
      </w:pPr>
      <w:r>
        <w:t>9. Informasi Kontak</w:t>
      </w:r>
    </w:p>
    <w:tbl>
      <w:tblPr>
        <w:tblW w:w="0" w:type="auto"/>
        <w:jc w:val="center"/>
        <w:tblLayout w:type="fixed"/>
        <w:tblLook w:val="04A0" w:firstRow="1" w:lastRow="0" w:firstColumn="1" w:lastColumn="0" w:noHBand="0" w:noVBand="1"/>
      </w:tblPr>
      <w:tblGrid>
        <w:gridCol w:w="4816"/>
        <w:gridCol w:w="4816"/>
      </w:tblGrid>
      <w:tr w:rsidR="00F86CEF" w14:paraId="5E29A5AB" w14:textId="77777777">
        <w:trPr>
          <w:jc w:val="center"/>
        </w:trPr>
        <w:tc>
          <w:tcPr>
            <w:tcW w:w="4816" w:type="dxa"/>
            <w:shd w:val="clear" w:color="auto" w:fill="F4E6D0"/>
            <w:vAlign w:val="center"/>
          </w:tcPr>
          <w:p w14:paraId="02EB20D6" w14:textId="77777777" w:rsidR="00F86CEF" w:rsidRDefault="00000000">
            <w:pPr>
              <w:jc w:val="center"/>
            </w:pPr>
            <w:r>
              <w:rPr>
                <w:b/>
                <w:color w:val="B42828"/>
                <w:sz w:val="20"/>
              </w:rPr>
              <w:t>Alamat</w:t>
            </w:r>
          </w:p>
        </w:tc>
        <w:tc>
          <w:tcPr>
            <w:tcW w:w="4816" w:type="dxa"/>
            <w:vAlign w:val="center"/>
          </w:tcPr>
          <w:p w14:paraId="11575377" w14:textId="77777777" w:rsidR="00F86CEF" w:rsidRDefault="00000000">
            <w:r>
              <w:rPr>
                <w:sz w:val="20"/>
              </w:rPr>
              <w:t>Soho Pancoran Tower Splendor S-3017, Jl. M.T. Haryono, Tebet Barat, Tebet, Jakarta Selatan, DKI Jakarta 12810</w:t>
            </w:r>
          </w:p>
        </w:tc>
      </w:tr>
      <w:tr w:rsidR="00F86CEF" w14:paraId="10F1138D" w14:textId="77777777">
        <w:trPr>
          <w:jc w:val="center"/>
        </w:trPr>
        <w:tc>
          <w:tcPr>
            <w:tcW w:w="4816" w:type="dxa"/>
            <w:shd w:val="clear" w:color="auto" w:fill="F4E6D0"/>
            <w:vAlign w:val="center"/>
          </w:tcPr>
          <w:p w14:paraId="7EC56CC1" w14:textId="77777777" w:rsidR="00F86CEF" w:rsidRDefault="00000000">
            <w:pPr>
              <w:jc w:val="center"/>
            </w:pPr>
            <w:r>
              <w:rPr>
                <w:b/>
                <w:color w:val="B42828"/>
                <w:sz w:val="20"/>
              </w:rPr>
              <w:t>Kontak</w:t>
            </w:r>
          </w:p>
        </w:tc>
        <w:tc>
          <w:tcPr>
            <w:tcW w:w="4816" w:type="dxa"/>
            <w:vAlign w:val="center"/>
          </w:tcPr>
          <w:p w14:paraId="76EA2DEF" w14:textId="77777777" w:rsidR="00F86CEF" w:rsidRDefault="00000000">
            <w:r>
              <w:rPr>
                <w:sz w:val="20"/>
              </w:rPr>
              <w:t>0811 1200 0800 | info@myriskresolution.com | Instagram: @risk.resolution</w:t>
            </w:r>
          </w:p>
        </w:tc>
      </w:tr>
    </w:tbl>
    <w:p w14:paraId="0B87C717" w14:textId="77777777" w:rsidR="00A25F53" w:rsidRDefault="00A25F53"/>
    <w:sectPr w:rsidR="00A25F53" w:rsidSect="00034616">
      <w:headerReference w:type="default" r:id="rId8"/>
      <w:footerReference w:type="default" r:id="rId9"/>
      <w:pgSz w:w="12240" w:h="15840"/>
      <w:pgMar w:top="1247" w:right="1247"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0FEB1" w14:textId="77777777" w:rsidR="00A21058" w:rsidRDefault="00A21058">
      <w:pPr>
        <w:spacing w:after="0" w:line="240" w:lineRule="auto"/>
      </w:pPr>
      <w:r>
        <w:separator/>
      </w:r>
    </w:p>
  </w:endnote>
  <w:endnote w:type="continuationSeparator" w:id="0">
    <w:p w14:paraId="19633A17" w14:textId="77777777" w:rsidR="00A21058" w:rsidRDefault="00A21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6A903" w14:textId="77777777" w:rsidR="00F86CEF" w:rsidRDefault="00000000">
    <w:pPr>
      <w:pStyle w:val="Footer"/>
      <w:jc w:val="center"/>
    </w:pPr>
    <w:proofErr w:type="spellStart"/>
    <w:r>
      <w:rPr>
        <w:color w:val="646464"/>
        <w:sz w:val="17"/>
      </w:rPr>
      <w:t>Dokumen</w:t>
    </w:r>
    <w:proofErr w:type="spellEnd"/>
    <w:r>
      <w:rPr>
        <w:color w:val="646464"/>
        <w:sz w:val="17"/>
      </w:rPr>
      <w:t xml:space="preserve"> </w:t>
    </w:r>
    <w:proofErr w:type="spellStart"/>
    <w:r>
      <w:rPr>
        <w:color w:val="646464"/>
        <w:sz w:val="17"/>
      </w:rPr>
      <w:t>pendukung</w:t>
    </w:r>
    <w:proofErr w:type="spellEnd"/>
    <w:r>
      <w:rPr>
        <w:color w:val="646464"/>
        <w:sz w:val="17"/>
      </w:rPr>
      <w:t xml:space="preserve"> proposal </w:t>
    </w:r>
    <w:proofErr w:type="spellStart"/>
    <w:proofErr w:type="gramStart"/>
    <w:r>
      <w:rPr>
        <w:color w:val="646464"/>
        <w:sz w:val="17"/>
      </w:rPr>
      <w:t>proyek</w:t>
    </w:r>
    <w:proofErr w:type="spellEnd"/>
    <w:r>
      <w:rPr>
        <w:color w:val="646464"/>
        <w:sz w:val="17"/>
      </w:rPr>
      <w:t xml:space="preserve">  |</w:t>
    </w:r>
    <w:proofErr w:type="gramEnd"/>
    <w:r>
      <w:rPr>
        <w:color w:val="646464"/>
        <w:sz w:val="17"/>
      </w:rPr>
      <w:t xml:space="preserve">  Halaman </w:t>
    </w:r>
    <w:r>
      <w:fldChar w:fldCharType="begin"/>
    </w:r>
    <w:r>
      <w:instrText>PAGE</w:instrText>
    </w:r>
    <w:r>
      <w:fldChar w:fldCharType="separate"/>
    </w:r>
    <w:r w:rsidR="0080101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12ECA" w14:textId="77777777" w:rsidR="00A21058" w:rsidRDefault="00A21058">
      <w:pPr>
        <w:spacing w:after="0" w:line="240" w:lineRule="auto"/>
      </w:pPr>
      <w:r>
        <w:separator/>
      </w:r>
    </w:p>
  </w:footnote>
  <w:footnote w:type="continuationSeparator" w:id="0">
    <w:p w14:paraId="2594F12B" w14:textId="77777777" w:rsidR="00A21058" w:rsidRDefault="00A21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B61C" w14:textId="77777777" w:rsidR="00F86CEF" w:rsidRDefault="00000000">
    <w:pPr>
      <w:pStyle w:val="Header"/>
      <w:jc w:val="right"/>
    </w:pPr>
    <w:proofErr w:type="spellStart"/>
    <w:r>
      <w:rPr>
        <w:color w:val="646464"/>
        <w:sz w:val="17"/>
      </w:rPr>
      <w:t>Profil</w:t>
    </w:r>
    <w:proofErr w:type="spellEnd"/>
    <w:r>
      <w:rPr>
        <w:color w:val="646464"/>
        <w:sz w:val="17"/>
      </w:rPr>
      <w:t xml:space="preserve"> Perusahaan | PT </w:t>
    </w:r>
    <w:proofErr w:type="spellStart"/>
    <w:r>
      <w:rPr>
        <w:color w:val="646464"/>
        <w:sz w:val="17"/>
      </w:rPr>
      <w:t>Resolusi</w:t>
    </w:r>
    <w:proofErr w:type="spellEnd"/>
    <w:r>
      <w:rPr>
        <w:color w:val="646464"/>
        <w:sz w:val="17"/>
      </w:rPr>
      <w:t xml:space="preserve"> Risiko Indonesia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5309723">
    <w:abstractNumId w:val="8"/>
  </w:num>
  <w:num w:numId="2" w16cid:durableId="1222326762">
    <w:abstractNumId w:val="6"/>
  </w:num>
  <w:num w:numId="3" w16cid:durableId="444353997">
    <w:abstractNumId w:val="5"/>
  </w:num>
  <w:num w:numId="4" w16cid:durableId="1546480522">
    <w:abstractNumId w:val="4"/>
  </w:num>
  <w:num w:numId="5" w16cid:durableId="1013721949">
    <w:abstractNumId w:val="7"/>
  </w:num>
  <w:num w:numId="6" w16cid:durableId="389424299">
    <w:abstractNumId w:val="3"/>
  </w:num>
  <w:num w:numId="7" w16cid:durableId="304430287">
    <w:abstractNumId w:val="2"/>
  </w:num>
  <w:num w:numId="8" w16cid:durableId="501554445">
    <w:abstractNumId w:val="1"/>
  </w:num>
  <w:num w:numId="9" w16cid:durableId="1647200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55781"/>
    <w:rsid w:val="00801017"/>
    <w:rsid w:val="008359D7"/>
    <w:rsid w:val="00A21058"/>
    <w:rsid w:val="00A23C5A"/>
    <w:rsid w:val="00A25F53"/>
    <w:rsid w:val="00AA1D8D"/>
    <w:rsid w:val="00B47730"/>
    <w:rsid w:val="00CB0664"/>
    <w:rsid w:val="00E57FF3"/>
    <w:rsid w:val="00F86C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B6944D"/>
  <w14:defaultImageDpi w14:val="300"/>
  <w15:docId w15:val="{2EF164B8-EF52-46D7-B9F6-3D9F68DBD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D2D2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Custom">
    <w:name w:val="TitleCustom"/>
    <w:rPr>
      <w:rFonts w:ascii="Aptos" w:hAnsi="Aptos"/>
      <w:b/>
      <w:color w:val="B42828"/>
      <w:sz w:val="48"/>
    </w:rPr>
  </w:style>
  <w:style w:type="paragraph" w:customStyle="1" w:styleId="SubtitleCustom">
    <w:name w:val="SubtitleCustom"/>
    <w:rPr>
      <w:rFonts w:ascii="Aptos" w:hAnsi="Aptos"/>
      <w:color w:val="646464"/>
    </w:rPr>
  </w:style>
  <w:style w:type="paragraph" w:customStyle="1" w:styleId="Heading1Custom">
    <w:name w:val="Heading1Custom"/>
    <w:rPr>
      <w:rFonts w:ascii="Aptos" w:hAnsi="Aptos"/>
      <w:b/>
      <w:color w:val="B42828"/>
      <w:sz w:val="30"/>
    </w:rPr>
  </w:style>
  <w:style w:type="paragraph" w:customStyle="1" w:styleId="Heading2Custom">
    <w:name w:val="Heading2Custom"/>
    <w:rPr>
      <w:rFonts w:ascii="Aptos" w:hAnsi="Aptos"/>
      <w:b/>
      <w:color w:val="2D2D2D"/>
      <w:sz w:val="23"/>
    </w:rPr>
  </w:style>
  <w:style w:type="paragraph" w:customStyle="1" w:styleId="SmallCapsCustom">
    <w:name w:val="SmallCapsCustom"/>
    <w:rPr>
      <w:rFonts w:ascii="Aptos" w:hAnsi="Aptos"/>
      <w:b/>
      <w:color w:val="646464"/>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1151</Words>
  <Characters>6565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Profil Perusahaan PT Resolusi Risiko Indonesia</vt:lpstr>
    </vt:vector>
  </TitlesOfParts>
  <Manager/>
  <Company/>
  <LinksUpToDate>false</LinksUpToDate>
  <CharactersWithSpaces>7701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Profil Perusahaan PT Resolusi Risiko Indonesia</dc:title>
  <dc:subject>Lampiran Proposal Proyek</dc:subject>
  <dc:creator>OpenAI</dc:creator>
  <cp:keywords/>
  <dc:description>Disusun ulang dalam format Word profesional berdasarkan company profile.</dc:description>
  <cp:lastModifiedBy>Fadjar Proboseno</cp:lastModifiedBy>
  <cp:revision>3</cp:revision>
  <dcterms:created xsi:type="dcterms:W3CDTF">2013-12-23T23:15:00Z</dcterms:created>
  <dcterms:modified xsi:type="dcterms:W3CDTF">2026-03-25T14:28:00Z</dcterms:modified>
  <cp:category/>
</cp:coreProperties>
</file>